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D8" w:rsidRDefault="003724D8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AIC Meeting</w:t>
      </w:r>
    </w:p>
    <w:p w:rsidR="003724D8" w:rsidRDefault="003724D8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Thursday, January 12, 2012</w:t>
      </w:r>
    </w:p>
    <w:p w:rsidR="003724D8" w:rsidRDefault="003724D8">
      <w:pPr>
        <w:pStyle w:val="NormalWeb"/>
        <w:spacing w:before="0" w:beforeAutospacing="0" w:after="0" w:afterAutospacing="0"/>
      </w:pPr>
      <w:r>
        <w:t> </w:t>
      </w:r>
    </w:p>
    <w:p w:rsidR="003724D8" w:rsidRDefault="003724D8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Present: Erin Kizell, Emily Mackinnon, Mark Domer, Sara Hopkins</w:t>
      </w:r>
      <w:proofErr w:type="gramStart"/>
      <w:r>
        <w:rPr>
          <w:rFonts w:ascii="Calibri" w:hAnsi="Calibri" w:cs="Arial"/>
          <w:sz w:val="22"/>
          <w:szCs w:val="22"/>
        </w:rPr>
        <w:t>,  Angela</w:t>
      </w:r>
      <w:proofErr w:type="gramEnd"/>
      <w:r>
        <w:rPr>
          <w:rFonts w:ascii="Calibri" w:hAnsi="Calibri" w:cs="Arial"/>
          <w:sz w:val="22"/>
          <w:szCs w:val="22"/>
        </w:rPr>
        <w:t xml:space="preserve"> Crimeni, Eric Gauf, Anthony Oliver, Bryan Badali, Jessie Gill, Jeanette O'Sullivan, Martin McGregor</w:t>
      </w:r>
    </w:p>
    <w:p w:rsidR="003724D8" w:rsidRDefault="003724D8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 </w:t>
      </w:r>
    </w:p>
    <w:p w:rsidR="003724D8" w:rsidRDefault="003724D8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Regrets: Brendan Craig, Amelia Boultbee, Ehsan Monfared</w:t>
      </w:r>
    </w:p>
    <w:p w:rsidR="003724D8" w:rsidRDefault="003724D8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 </w:t>
      </w:r>
    </w:p>
    <w:p w:rsidR="003724D8" w:rsidRDefault="003724D8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Where to put Aboriginal Law into the curriculum</w:t>
      </w:r>
    </w:p>
    <w:p w:rsidR="003724D8" w:rsidRDefault="003724D8" w:rsidP="003724D8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Profs who teach Aboriginal Law</w:t>
      </w:r>
    </w:p>
    <w:p w:rsidR="003724D8" w:rsidRDefault="003724D8" w:rsidP="003724D8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They feel this course should be part of Constitutional law</w:t>
      </w:r>
    </w:p>
    <w:p w:rsidR="003724D8" w:rsidRDefault="003724D8" w:rsidP="003724D8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They want to see a first year constitutional law course that covers Charter, Federalism and Aboriginal law</w:t>
      </w:r>
    </w:p>
    <w:p w:rsidR="003724D8" w:rsidRDefault="003724D8" w:rsidP="003724D8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They want this component to not be afforded less than Transnat or Reg State</w:t>
      </w:r>
    </w:p>
    <w:p w:rsidR="003724D8" w:rsidRDefault="003724D8" w:rsidP="003724D8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How do we fit this into first year?</w:t>
      </w:r>
    </w:p>
    <w:p w:rsidR="003724D8" w:rsidRDefault="003724D8" w:rsidP="003724D8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Reduce law and context credits</w:t>
      </w:r>
    </w:p>
    <w:p w:rsidR="003724D8" w:rsidRDefault="003724D8" w:rsidP="003724D8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Remove law and context from first year</w:t>
      </w:r>
    </w:p>
    <w:p w:rsidR="003724D8" w:rsidRDefault="003724D8" w:rsidP="003724D8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Revisit legal research and writing</w:t>
      </w:r>
    </w:p>
    <w:p w:rsidR="003724D8" w:rsidRDefault="003724D8" w:rsidP="003724D8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Radically adjust credit hours to make room for Aboriginal Law</w:t>
      </w:r>
    </w:p>
    <w:p w:rsidR="003724D8" w:rsidRDefault="003724D8" w:rsidP="003724D8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Curriculum committee will give 3 recommendations</w:t>
      </w:r>
    </w:p>
    <w:p w:rsidR="003724D8" w:rsidRDefault="003724D8" w:rsidP="003724D8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Aboriginal law be in first year</w:t>
      </w:r>
    </w:p>
    <w:p w:rsidR="003724D8" w:rsidRDefault="003724D8" w:rsidP="003724D8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Under the umbrella of Constitutional</w:t>
      </w:r>
    </w:p>
    <w:p w:rsidR="003724D8" w:rsidRDefault="003724D8" w:rsidP="003724D8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Move a course to free credits rather than adjust credits</w:t>
      </w:r>
    </w:p>
    <w:p w:rsidR="003724D8" w:rsidRDefault="003724D8" w:rsidP="003724D8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Sara will speak on behalf of AIC</w:t>
      </w:r>
    </w:p>
    <w:p w:rsidR="003724D8" w:rsidRDefault="003724D8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 </w:t>
      </w:r>
    </w:p>
    <w:p w:rsidR="003724D8" w:rsidRDefault="003724D8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Exams Committee</w:t>
      </w:r>
    </w:p>
    <w:p w:rsidR="003724D8" w:rsidRDefault="003724D8" w:rsidP="003724D8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Met at the end of last November</w:t>
      </w:r>
    </w:p>
    <w:p w:rsidR="003724D8" w:rsidRDefault="003724D8" w:rsidP="003724D8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Grade privacy</w:t>
      </w:r>
    </w:p>
    <w:p w:rsidR="003724D8" w:rsidRDefault="003724D8" w:rsidP="003724D8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We have solicited opinion from university's privacy lawyer</w:t>
      </w:r>
    </w:p>
    <w:p w:rsidR="003724D8" w:rsidRDefault="003724D8" w:rsidP="003724D8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Broad disclosure of everyone's marks to entire faculty is not justifiable</w:t>
      </w:r>
    </w:p>
    <w:p w:rsidR="003724D8" w:rsidRDefault="003724D8" w:rsidP="003724D8">
      <w:pPr>
        <w:numPr>
          <w:ilvl w:val="2"/>
          <w:numId w:val="1"/>
        </w:numPr>
        <w:spacing w:after="0" w:line="240" w:lineRule="auto"/>
        <w:ind w:left="143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No need for waiver when use of marks is reasonable</w:t>
      </w:r>
    </w:p>
    <w:p w:rsidR="003724D8" w:rsidRDefault="003724D8" w:rsidP="003724D8">
      <w:pPr>
        <w:numPr>
          <w:ilvl w:val="3"/>
          <w:numId w:val="1"/>
        </w:numPr>
        <w:spacing w:after="0" w:line="240" w:lineRule="auto"/>
        <w:ind w:left="197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Reference letter</w:t>
      </w:r>
    </w:p>
    <w:p w:rsidR="003724D8" w:rsidRDefault="003724D8" w:rsidP="003724D8">
      <w:pPr>
        <w:numPr>
          <w:ilvl w:val="3"/>
          <w:numId w:val="1"/>
        </w:numPr>
        <w:spacing w:after="0" w:line="240" w:lineRule="auto"/>
        <w:ind w:left="197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Any student can give their marks to any professor whenever they want</w:t>
      </w:r>
    </w:p>
    <w:p w:rsidR="003724D8" w:rsidRDefault="003724D8" w:rsidP="003724D8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University is working on a university wide privacy policy that will come out in the next year or two</w:t>
      </w:r>
    </w:p>
    <w:p w:rsidR="003724D8" w:rsidRDefault="003724D8" w:rsidP="003724D8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How do students feel about all professors seeing their marks?</w:t>
      </w:r>
    </w:p>
    <w:p w:rsidR="003724D8" w:rsidRDefault="003724D8" w:rsidP="003724D8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Prof Grant will be in touch with a privacy lawyer about the development of our policy</w:t>
      </w:r>
    </w:p>
    <w:p w:rsidR="003724D8" w:rsidRDefault="003724D8" w:rsidP="003724D8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AIC 's opinion:</w:t>
      </w:r>
    </w:p>
    <w:p w:rsidR="003724D8" w:rsidRDefault="003724D8" w:rsidP="003724D8">
      <w:pPr>
        <w:numPr>
          <w:ilvl w:val="2"/>
          <w:numId w:val="1"/>
        </w:numPr>
        <w:spacing w:after="0" w:line="240" w:lineRule="auto"/>
        <w:ind w:left="143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AIC is not in favour of the status quo</w:t>
      </w:r>
    </w:p>
    <w:p w:rsidR="003724D8" w:rsidRDefault="003724D8" w:rsidP="003724D8">
      <w:pPr>
        <w:numPr>
          <w:ilvl w:val="2"/>
          <w:numId w:val="1"/>
        </w:numPr>
        <w:spacing w:after="0" w:line="240" w:lineRule="auto"/>
        <w:ind w:left="143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Not all professors should have access to all students marks</w:t>
      </w:r>
    </w:p>
    <w:p w:rsidR="003724D8" w:rsidRDefault="003724D8" w:rsidP="003724D8">
      <w:pPr>
        <w:numPr>
          <w:ilvl w:val="2"/>
          <w:numId w:val="1"/>
        </w:numPr>
        <w:spacing w:after="0" w:line="240" w:lineRule="auto"/>
        <w:ind w:left="143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Reasonable jsutification for seeing a student's marks in various circumstances</w:t>
      </w:r>
    </w:p>
    <w:p w:rsidR="003724D8" w:rsidRDefault="003724D8" w:rsidP="003724D8">
      <w:pPr>
        <w:numPr>
          <w:ilvl w:val="2"/>
          <w:numId w:val="1"/>
        </w:numPr>
        <w:spacing w:after="0" w:line="240" w:lineRule="auto"/>
        <w:ind w:left="143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Let's wait on the development of the university's policy</w:t>
      </w:r>
    </w:p>
    <w:p w:rsidR="003724D8" w:rsidRDefault="003724D8" w:rsidP="003724D8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Similar grading across same sections of a course in mandatory courses</w:t>
      </w:r>
    </w:p>
    <w:p w:rsidR="003724D8" w:rsidRDefault="003724D8" w:rsidP="003724D8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Emerged from complaints in Reg State</w:t>
      </w:r>
    </w:p>
    <w:p w:rsidR="003724D8" w:rsidRDefault="003724D8" w:rsidP="003724D8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In general the mood was in favour of consistent marking schemes</w:t>
      </w:r>
    </w:p>
    <w:p w:rsidR="003724D8" w:rsidRDefault="003724D8" w:rsidP="003724D8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Exam accommodations</w:t>
      </w:r>
    </w:p>
    <w:p w:rsidR="003724D8" w:rsidRDefault="003724D8" w:rsidP="003724D8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lastRenderedPageBreak/>
        <w:t>If you want a deferral or extension, you need to request that within 2 days of assignment rather than 5, with exceptions based on circumstances</w:t>
      </w:r>
    </w:p>
    <w:p w:rsidR="003724D8" w:rsidRDefault="003724D8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 </w:t>
      </w:r>
    </w:p>
    <w:p w:rsidR="003724D8" w:rsidRDefault="003724D8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Equity Committee</w:t>
      </w:r>
    </w:p>
    <w:p w:rsidR="003724D8" w:rsidRDefault="003724D8" w:rsidP="003724D8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  <w:highlight w:val="yellow"/>
        </w:rPr>
        <w:t>Action item: Jeanette must contact them</w:t>
      </w:r>
    </w:p>
    <w:p w:rsidR="003724D8" w:rsidRDefault="003724D8" w:rsidP="003724D8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We are concerned that there is not adequate access to the building for people with disabilities, and this should be resolved in the long and short term</w:t>
      </w:r>
    </w:p>
    <w:p w:rsidR="003724D8" w:rsidRDefault="003724D8" w:rsidP="003724D8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Faculty of law has a commitment to equity and we are getting feedback from students that this is a problem</w:t>
      </w:r>
    </w:p>
    <w:p w:rsidR="003724D8" w:rsidRDefault="003724D8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 </w:t>
      </w:r>
    </w:p>
    <w:p w:rsidR="003724D8" w:rsidRDefault="003724D8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Ashtrays</w:t>
      </w:r>
    </w:p>
    <w:p w:rsidR="003724D8" w:rsidRDefault="003724D8" w:rsidP="003724D8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What is taking so long?</w:t>
      </w:r>
    </w:p>
    <w:p w:rsidR="003724D8" w:rsidRDefault="003724D8" w:rsidP="003724D8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They are on order</w:t>
      </w:r>
    </w:p>
    <w:p w:rsidR="003724D8" w:rsidRDefault="003724D8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 </w:t>
      </w:r>
    </w:p>
    <w:p w:rsidR="003724D8" w:rsidRDefault="003724D8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Library and Research Committee</w:t>
      </w:r>
    </w:p>
    <w:p w:rsidR="003724D8" w:rsidRDefault="003724D8" w:rsidP="003724D8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Let's send out a survey</w:t>
      </w:r>
    </w:p>
    <w:p w:rsidR="003724D8" w:rsidRDefault="003724D8" w:rsidP="003724D8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Let's include other LSS issues on this survey</w:t>
      </w:r>
    </w:p>
    <w:p w:rsidR="003724D8" w:rsidRDefault="003724D8" w:rsidP="003724D8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Let's have a LSS town hall either Jan 25 or Feb 1</w:t>
      </w:r>
    </w:p>
    <w:p w:rsidR="003724D8" w:rsidRDefault="003724D8" w:rsidP="003724D8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AIC is in favour of a food zone in the library</w:t>
      </w:r>
    </w:p>
    <w:p w:rsidR="003724D8" w:rsidRDefault="003724D8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 </w:t>
      </w:r>
    </w:p>
    <w:p w:rsidR="003724D8" w:rsidRDefault="003724D8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Admissions</w:t>
      </w:r>
    </w:p>
    <w:p w:rsidR="003724D8" w:rsidRDefault="003724D8" w:rsidP="003724D8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We should emphasize solutions</w:t>
      </w:r>
    </w:p>
    <w:p w:rsidR="003724D8" w:rsidRDefault="003724D8" w:rsidP="003724D8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We want a written proposal</w:t>
      </w:r>
    </w:p>
    <w:p w:rsidR="003724D8" w:rsidRDefault="003724D8" w:rsidP="003724D8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It is hard for us to make recommendations if there are no numbers</w:t>
      </w:r>
    </w:p>
    <w:p w:rsidR="003724D8" w:rsidRDefault="003724D8" w:rsidP="003724D8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How will the top tier candidates not be privileged</w:t>
      </w:r>
    </w:p>
    <w:p w:rsidR="003724D8" w:rsidRDefault="003724D8" w:rsidP="003724D8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How will this affect discretionary category?</w:t>
      </w:r>
    </w:p>
    <w:p w:rsidR="003724D8" w:rsidRDefault="003724D8" w:rsidP="003724D8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We need to understand what the goal of removing the discretionary category is</w:t>
      </w:r>
    </w:p>
    <w:p w:rsidR="003724D8" w:rsidRDefault="003724D8" w:rsidP="003724D8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What are they trying to change the cohort to?</w:t>
      </w:r>
    </w:p>
    <w:p w:rsidR="003724D8" w:rsidRDefault="003724D8" w:rsidP="003724D8">
      <w:pPr>
        <w:numPr>
          <w:ilvl w:val="2"/>
          <w:numId w:val="1"/>
        </w:numPr>
        <w:spacing w:after="0" w:line="240" w:lineRule="auto"/>
        <w:ind w:left="143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Are they looking for more diversity?</w:t>
      </w:r>
    </w:p>
    <w:p w:rsidR="003724D8" w:rsidRDefault="003724D8" w:rsidP="003724D8">
      <w:pPr>
        <w:numPr>
          <w:ilvl w:val="2"/>
          <w:numId w:val="1"/>
        </w:numPr>
        <w:spacing w:after="0" w:line="240" w:lineRule="auto"/>
        <w:ind w:left="143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Or weed through the top candidates and find those who have done more than school</w:t>
      </w:r>
    </w:p>
    <w:p w:rsidR="00EB7BE5" w:rsidRDefault="00EB7BE5"/>
    <w:sectPr w:rsidR="00EB7BE5" w:rsidSect="00595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0F62"/>
    <w:multiLevelType w:val="multilevel"/>
    <w:tmpl w:val="3C5C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724D8"/>
    <w:rsid w:val="003724D8"/>
    <w:rsid w:val="00CA3FB0"/>
    <w:rsid w:val="00EB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4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Company>Your Company Name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2012-01-12T21:56:00Z</dcterms:created>
  <dcterms:modified xsi:type="dcterms:W3CDTF">2012-01-12T21:57:00Z</dcterms:modified>
</cp:coreProperties>
</file>